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FA29" w14:textId="77777777" w:rsidR="00F3034B"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469AE20E" w:rsidR="00DC42D7" w:rsidRPr="00F3034B" w:rsidRDefault="002D2297" w:rsidP="38604640">
      <w:pPr>
        <w:jc w:val="center"/>
        <w:rPr>
          <w:color w:val="000000" w:themeColor="text1"/>
          <w:sz w:val="32"/>
          <w:szCs w:val="32"/>
        </w:rPr>
      </w:pPr>
      <w:r w:rsidRPr="00F3034B">
        <w:rPr>
          <w:color w:val="000000" w:themeColor="text1"/>
          <w:sz w:val="32"/>
          <w:szCs w:val="32"/>
        </w:rPr>
        <w:t xml:space="preserve"> </w:t>
      </w:r>
      <w:bookmarkStart w:id="0" w:name="_Hlk125473849"/>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2"/>
            <w:szCs w:val="22"/>
          </w:rPr>
        </w:sdtEndPr>
        <w:sdtContent>
          <w:r w:rsidR="00F3034B" w:rsidRPr="00F3034B">
            <w:rPr>
              <w:rStyle w:val="PlaceholderText"/>
              <w:sz w:val="32"/>
              <w:szCs w:val="32"/>
            </w:rPr>
            <w:t>YCSD</w:t>
          </w:r>
          <w:r w:rsidR="00BA67A7" w:rsidRPr="00F3034B">
            <w:rPr>
              <w:rStyle w:val="PlaceholderText"/>
              <w:sz w:val="32"/>
              <w:szCs w:val="32"/>
            </w:rPr>
            <w:t>-</w:t>
          </w:r>
          <w:r w:rsidR="7763357E" w:rsidRPr="00F3034B">
            <w:rPr>
              <w:rStyle w:val="PlaceholderText"/>
              <w:sz w:val="32"/>
              <w:szCs w:val="32"/>
            </w:rPr>
            <w:t>FY202</w:t>
          </w:r>
          <w:r w:rsidR="00BA67A7" w:rsidRPr="00F3034B">
            <w:rPr>
              <w:rStyle w:val="PlaceholderText"/>
              <w:sz w:val="32"/>
              <w:szCs w:val="32"/>
            </w:rPr>
            <w:t>3</w:t>
          </w:r>
          <w:r w:rsidR="7763357E" w:rsidRPr="00F3034B">
            <w:rPr>
              <w:rStyle w:val="PlaceholderText"/>
              <w:sz w:val="32"/>
              <w:szCs w:val="32"/>
            </w:rPr>
            <w:t>-C</w:t>
          </w:r>
          <w:r w:rsidR="00CC5B6D" w:rsidRPr="00F3034B">
            <w:rPr>
              <w:rStyle w:val="PlaceholderText"/>
              <w:sz w:val="32"/>
              <w:szCs w:val="32"/>
            </w:rPr>
            <w:t>2</w:t>
          </w:r>
          <w:r w:rsidR="7763357E" w:rsidRPr="00F3034B">
            <w:rPr>
              <w:rStyle w:val="PlaceholderText"/>
              <w:sz w:val="32"/>
              <w:szCs w:val="32"/>
            </w:rPr>
            <w:t>-</w:t>
          </w:r>
          <w:r w:rsidR="008541BE" w:rsidRPr="00F3034B">
            <w:rPr>
              <w:rStyle w:val="PlaceholderText"/>
              <w:sz w:val="32"/>
              <w:szCs w:val="32"/>
            </w:rPr>
            <w:t>IC</w:t>
          </w:r>
          <w:r w:rsidR="00BC0FB8">
            <w:rPr>
              <w:rStyle w:val="PlaceholderText"/>
              <w:sz w:val="32"/>
              <w:szCs w:val="32"/>
            </w:rPr>
            <w:t>-CAB</w:t>
          </w:r>
          <w:r w:rsidR="00BA67A7" w:rsidRPr="00F3034B">
            <w:rPr>
              <w:rFonts w:eastAsiaTheme="minorEastAsia"/>
              <w:color w:val="000000" w:themeColor="text1"/>
              <w:sz w:val="32"/>
              <w:szCs w:val="32"/>
            </w:rPr>
            <w:t xml:space="preserve"> </w:t>
          </w:r>
        </w:sdtContent>
      </w:sdt>
      <w:bookmarkEnd w:id="0"/>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53C3E320" w:rsidR="00E11FD0" w:rsidRPr="007A5672" w:rsidRDefault="00D2258F">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F3034B">
            <w:rPr>
              <w:rFonts w:eastAsia="Arial" w:cstheme="minorHAnsi"/>
              <w:color w:val="000000" w:themeColor="text1"/>
            </w:rPr>
            <w:t>Yamhill Carlton</w:t>
          </w:r>
          <w:r w:rsidR="008541BE" w:rsidRPr="008541BE">
            <w:rPr>
              <w:rFonts w:eastAsia="Arial" w:cstheme="minorHAnsi"/>
              <w:color w:val="000000" w:themeColor="text1"/>
            </w:rPr>
            <w:t xml:space="preserve"> </w:t>
          </w:r>
          <w:r w:rsidR="006A395E" w:rsidRPr="008541BE">
            <w:rPr>
              <w:rFonts w:eastAsia="Arial" w:cstheme="minorHAnsi"/>
              <w:color w:val="000000" w:themeColor="text1"/>
            </w:rPr>
            <w:t>School District</w:t>
          </w:r>
        </w:sdtContent>
      </w:sdt>
      <w:r w:rsidR="00DC42D7" w:rsidRPr="008541BE">
        <w:rPr>
          <w:rFonts w:eastAsia="Arial" w:cstheme="minorHAnsi"/>
          <w:color w:val="000000" w:themeColor="text1"/>
        </w:rPr>
        <w:t>, hereafter referred to as Applicant, is requesting proposals for</w:t>
      </w:r>
      <w:r w:rsidR="00031903" w:rsidRPr="008541BE">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8541BE">
            <w:rPr>
              <w:rStyle w:val="PlaceholderText"/>
            </w:rPr>
            <w:t>Category Two</w:t>
          </w:r>
        </w:sdtContent>
      </w:sdt>
      <w:r w:rsidR="00031903" w:rsidRPr="008541BE">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8541BE">
            <w:rPr>
              <w:rStyle w:val="PlaceholderText"/>
            </w:rPr>
            <w:t>Internal Connections</w:t>
          </w:r>
        </w:sdtContent>
      </w:sdt>
      <w:r w:rsidR="0018324E" w:rsidRPr="008541BE">
        <w:rPr>
          <w:rFonts w:eastAsia="Arial" w:cstheme="minorHAnsi"/>
          <w:color w:val="000000" w:themeColor="text1"/>
        </w:rPr>
        <w:t xml:space="preserve"> service</w:t>
      </w:r>
      <w:r w:rsidR="00DC42D7" w:rsidRPr="008541BE">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8541BE" w:rsidRPr="008541BE" w14:paraId="044AC2C9" w14:textId="77777777" w:rsidTr="38604640">
        <w:tc>
          <w:tcPr>
            <w:tcW w:w="2460" w:type="dxa"/>
          </w:tcPr>
          <w:p w14:paraId="47C2FEDE" w14:textId="5B368246" w:rsidR="00DE6BBC" w:rsidRPr="008541BE" w:rsidRDefault="00DE6BBC" w:rsidP="00DE6BBC">
            <w:pPr>
              <w:pStyle w:val="NoSpacing"/>
              <w:rPr>
                <w:rFonts w:cstheme="minorHAnsi"/>
                <w:b/>
              </w:rPr>
            </w:pPr>
            <w:r w:rsidRPr="008541BE">
              <w:rPr>
                <w:rFonts w:cstheme="minorHAnsi"/>
                <w:b/>
              </w:rPr>
              <w:t>Issue Date:</w:t>
            </w:r>
          </w:p>
        </w:tc>
        <w:tc>
          <w:tcPr>
            <w:tcW w:w="6890" w:type="dxa"/>
            <w:tcBorders>
              <w:bottom w:val="single" w:sz="4" w:space="0" w:color="auto"/>
            </w:tcBorders>
          </w:tcPr>
          <w:p w14:paraId="054D2FC1" w14:textId="0693CA02" w:rsidR="00DE6BBC" w:rsidRPr="008541BE" w:rsidRDefault="00F3034B" w:rsidP="00DE6BBC">
            <w:pPr>
              <w:pStyle w:val="NoSpacing"/>
              <w:rPr>
                <w:rFonts w:cstheme="minorHAnsi"/>
              </w:rPr>
            </w:pPr>
            <w:r>
              <w:rPr>
                <w:rFonts w:cstheme="minorHAnsi"/>
              </w:rPr>
              <w:t>February 20</w:t>
            </w:r>
            <w:r w:rsidRPr="00F3034B">
              <w:rPr>
                <w:rFonts w:cstheme="minorHAnsi"/>
                <w:vertAlign w:val="superscript"/>
              </w:rPr>
              <w:t>th</w:t>
            </w:r>
            <w:r>
              <w:rPr>
                <w:rFonts w:cstheme="minorHAnsi"/>
              </w:rPr>
              <w:t>, 2023</w:t>
            </w:r>
          </w:p>
        </w:tc>
      </w:tr>
      <w:tr w:rsidR="008541BE" w:rsidRPr="008541BE" w14:paraId="1F82515A" w14:textId="77777777" w:rsidTr="38604640">
        <w:tc>
          <w:tcPr>
            <w:tcW w:w="2460" w:type="dxa"/>
          </w:tcPr>
          <w:p w14:paraId="6CBE8D95" w14:textId="7A9AC2DE" w:rsidR="00DE6BBC" w:rsidRPr="008541BE" w:rsidRDefault="00DE6BBC" w:rsidP="00DE6BBC">
            <w:pPr>
              <w:pStyle w:val="NoSpacing"/>
              <w:rPr>
                <w:rFonts w:cstheme="minorHAnsi"/>
                <w:b/>
              </w:rPr>
            </w:pPr>
            <w:r w:rsidRPr="008541BE">
              <w:rPr>
                <w:rFonts w:cstheme="minorHAnsi"/>
                <w:b/>
              </w:rPr>
              <w:t>Questions Due Before:</w:t>
            </w:r>
          </w:p>
        </w:tc>
        <w:tc>
          <w:tcPr>
            <w:tcW w:w="6890" w:type="dxa"/>
            <w:tcBorders>
              <w:top w:val="single" w:sz="4" w:space="0" w:color="auto"/>
              <w:bottom w:val="single" w:sz="4" w:space="0" w:color="auto"/>
            </w:tcBorders>
          </w:tcPr>
          <w:p w14:paraId="2849736B" w14:textId="49933CD0" w:rsidR="00DE6BBC" w:rsidRPr="008541BE" w:rsidRDefault="00F3034B" w:rsidP="00DE6BBC">
            <w:pPr>
              <w:pStyle w:val="NoSpacing"/>
              <w:rPr>
                <w:rFonts w:cstheme="minorHAnsi"/>
              </w:rPr>
            </w:pPr>
            <w:r>
              <w:rPr>
                <w:rFonts w:cstheme="minorHAnsi"/>
              </w:rPr>
              <w:t>March 13</w:t>
            </w:r>
            <w:r w:rsidRPr="00F3034B">
              <w:rPr>
                <w:rFonts w:cstheme="minorHAnsi"/>
                <w:vertAlign w:val="superscript"/>
              </w:rPr>
              <w:t>th</w:t>
            </w:r>
            <w:r>
              <w:rPr>
                <w:rFonts w:cstheme="minorHAnsi"/>
              </w:rPr>
              <w:t>, 2023</w:t>
            </w:r>
          </w:p>
        </w:tc>
      </w:tr>
      <w:tr w:rsidR="008541BE" w:rsidRPr="008541BE" w14:paraId="6F2DC1C9" w14:textId="77777777" w:rsidTr="38604640">
        <w:tc>
          <w:tcPr>
            <w:tcW w:w="2460" w:type="dxa"/>
          </w:tcPr>
          <w:p w14:paraId="22672C08" w14:textId="58388592" w:rsidR="00DE6BBC" w:rsidRPr="008541BE" w:rsidRDefault="00DE6BBC" w:rsidP="00DE6BBC">
            <w:pPr>
              <w:pStyle w:val="NoSpacing"/>
              <w:rPr>
                <w:rFonts w:cstheme="minorHAnsi"/>
                <w:b/>
              </w:rPr>
            </w:pPr>
            <w:r w:rsidRPr="008541BE">
              <w:rPr>
                <w:rFonts w:cstheme="minorHAnsi"/>
                <w:b/>
              </w:rPr>
              <w:t>Responses Due:</w:t>
            </w:r>
          </w:p>
        </w:tc>
        <w:tc>
          <w:tcPr>
            <w:tcW w:w="6890" w:type="dxa"/>
            <w:tcBorders>
              <w:top w:val="single" w:sz="4" w:space="0" w:color="auto"/>
              <w:bottom w:val="single" w:sz="4" w:space="0" w:color="auto"/>
            </w:tcBorders>
          </w:tcPr>
          <w:p w14:paraId="07EE7232" w14:textId="0C77A6D9" w:rsidR="00DE6BBC" w:rsidRPr="008541BE" w:rsidRDefault="00F3034B" w:rsidP="00DE6BBC">
            <w:pPr>
              <w:pStyle w:val="NoSpacing"/>
              <w:rPr>
                <w:rFonts w:cstheme="minorHAnsi"/>
              </w:rPr>
            </w:pPr>
            <w:r>
              <w:rPr>
                <w:rFonts w:cstheme="minorHAnsi"/>
              </w:rPr>
              <w:t>March 20</w:t>
            </w:r>
            <w:r w:rsidRPr="00F3034B">
              <w:rPr>
                <w:rFonts w:cstheme="minorHAnsi"/>
                <w:vertAlign w:val="superscript"/>
              </w:rPr>
              <w:t>th</w:t>
            </w:r>
            <w:r>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8541BE" w:rsidRPr="008541BE" w14:paraId="117B20D4" w14:textId="77777777" w:rsidTr="38604640">
        <w:tc>
          <w:tcPr>
            <w:tcW w:w="2280" w:type="dxa"/>
          </w:tcPr>
          <w:p w14:paraId="51159FD9" w14:textId="45A2C664" w:rsidR="00F05D9F" w:rsidRPr="008541BE" w:rsidRDefault="00BA67A7" w:rsidP="00F05D9F">
            <w:pPr>
              <w:rPr>
                <w:rFonts w:cstheme="minorHAnsi"/>
                <w:b/>
              </w:rPr>
            </w:pPr>
            <w:r w:rsidRPr="008541BE">
              <w:rPr>
                <w:rFonts w:cstheme="minorHAnsi"/>
                <w:b/>
              </w:rPr>
              <w:t>District</w:t>
            </w:r>
            <w:r w:rsidR="00F05D9F" w:rsidRPr="008541BE">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76C56628" w:rsidR="00F05D9F" w:rsidRPr="008541BE" w:rsidRDefault="00F3034B" w:rsidP="00F05D9F">
                <w:pPr>
                  <w:rPr>
                    <w:rFonts w:cstheme="minorHAnsi"/>
                  </w:rPr>
                </w:pPr>
                <w:r w:rsidRPr="00F3034B">
                  <w:rPr>
                    <w:rFonts w:cstheme="minorHAnsi"/>
                  </w:rPr>
                  <w:t>YAMHILL CARLTON UNION DIST 1</w:t>
                </w:r>
              </w:p>
            </w:tc>
          </w:sdtContent>
        </w:sdt>
      </w:tr>
      <w:tr w:rsidR="008541BE" w:rsidRPr="008541BE" w14:paraId="4C1733EB" w14:textId="77777777" w:rsidTr="38604640">
        <w:tc>
          <w:tcPr>
            <w:tcW w:w="2280" w:type="dxa"/>
          </w:tcPr>
          <w:p w14:paraId="7DA5E01A" w14:textId="77777777" w:rsidR="00F05D9F" w:rsidRPr="008541BE" w:rsidRDefault="00F05D9F" w:rsidP="00F05D9F">
            <w:pPr>
              <w:rPr>
                <w:rFonts w:cstheme="minorHAnsi"/>
                <w:b/>
              </w:rPr>
            </w:pPr>
            <w:r w:rsidRPr="008541BE">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229C22B3" w:rsidR="00F05D9F" w:rsidRPr="008541BE" w:rsidRDefault="00F3034B" w:rsidP="00F3034B">
                <w:pPr>
                  <w:rPr>
                    <w:rFonts w:cstheme="minorHAnsi"/>
                  </w:rPr>
                </w:pPr>
                <w:r w:rsidRPr="00F3034B">
                  <w:rPr>
                    <w:rFonts w:cstheme="minorHAnsi"/>
                  </w:rPr>
                  <w:t>144904</w:t>
                </w:r>
              </w:p>
            </w:tc>
          </w:sdtContent>
        </w:sdt>
      </w:tr>
      <w:tr w:rsidR="008541BE" w:rsidRPr="008541BE" w14:paraId="51757E62" w14:textId="77777777" w:rsidTr="38604640">
        <w:tc>
          <w:tcPr>
            <w:tcW w:w="2280" w:type="dxa"/>
          </w:tcPr>
          <w:p w14:paraId="72EC71E8" w14:textId="2CADFF4E" w:rsidR="00F05D9F" w:rsidRPr="008541BE" w:rsidRDefault="00F05D9F" w:rsidP="00F05D9F">
            <w:pPr>
              <w:rPr>
                <w:rFonts w:cstheme="minorHAnsi"/>
                <w:b/>
              </w:rPr>
            </w:pPr>
            <w:r w:rsidRPr="008541BE">
              <w:rPr>
                <w:rFonts w:cstheme="minorHAnsi"/>
                <w:b/>
              </w:rPr>
              <w:t>Cat 1</w:t>
            </w:r>
            <w:r w:rsidR="00DC089A" w:rsidRPr="008541BE">
              <w:rPr>
                <w:rFonts w:cstheme="minorHAnsi"/>
                <w:b/>
              </w:rPr>
              <w:t xml:space="preserve"> </w:t>
            </w:r>
            <w:r w:rsidRPr="008541BE">
              <w:rPr>
                <w:rFonts w:cstheme="minorHAnsi"/>
                <w:b/>
              </w:rPr>
              <w:t>Discount Rate:</w:t>
            </w:r>
          </w:p>
        </w:tc>
        <w:tc>
          <w:tcPr>
            <w:tcW w:w="7070" w:type="dxa"/>
            <w:tcBorders>
              <w:bottom w:val="single" w:sz="4" w:space="0" w:color="auto"/>
            </w:tcBorders>
          </w:tcPr>
          <w:p w14:paraId="418E11E4" w14:textId="7D785460" w:rsidR="00F05D9F" w:rsidRPr="008541BE" w:rsidRDefault="00F3034B" w:rsidP="38604640">
            <w:r>
              <w:t>70%</w:t>
            </w:r>
          </w:p>
        </w:tc>
      </w:tr>
      <w:tr w:rsidR="008541BE" w:rsidRPr="008541BE" w14:paraId="69698234" w14:textId="77777777" w:rsidTr="38604640">
        <w:tc>
          <w:tcPr>
            <w:tcW w:w="2280" w:type="dxa"/>
          </w:tcPr>
          <w:p w14:paraId="05551BE4" w14:textId="77777777" w:rsidR="00F05D9F" w:rsidRPr="008541BE" w:rsidRDefault="6A2B6938" w:rsidP="38604640">
            <w:pPr>
              <w:rPr>
                <w:b/>
                <w:bCs/>
              </w:rPr>
            </w:pPr>
            <w:r w:rsidRPr="008541BE">
              <w:rPr>
                <w:b/>
                <w:bCs/>
              </w:rPr>
              <w:t>Cat 2 Discount Rate:</w:t>
            </w:r>
          </w:p>
        </w:tc>
        <w:tc>
          <w:tcPr>
            <w:tcW w:w="7070" w:type="dxa"/>
            <w:tcBorders>
              <w:top w:val="single" w:sz="4" w:space="0" w:color="auto"/>
              <w:bottom w:val="single" w:sz="4" w:space="0" w:color="auto"/>
            </w:tcBorders>
          </w:tcPr>
          <w:p w14:paraId="74B11058" w14:textId="45C92672" w:rsidR="00F05D9F" w:rsidRPr="008541BE" w:rsidRDefault="00F3034B" w:rsidP="38604640">
            <w:r>
              <w:t>70%</w:t>
            </w:r>
          </w:p>
        </w:tc>
      </w:tr>
      <w:tr w:rsidR="008541BE" w:rsidRPr="008541BE" w14:paraId="5031A5DD" w14:textId="77777777" w:rsidTr="38604640">
        <w:tc>
          <w:tcPr>
            <w:tcW w:w="2280" w:type="dxa"/>
          </w:tcPr>
          <w:p w14:paraId="385E5CC6" w14:textId="77777777" w:rsidR="00F05D9F" w:rsidRPr="008541BE" w:rsidRDefault="00F05D9F" w:rsidP="00F05D9F">
            <w:pPr>
              <w:rPr>
                <w:rFonts w:cstheme="minorHAnsi"/>
                <w:b/>
              </w:rPr>
            </w:pPr>
            <w:r w:rsidRPr="008541BE">
              <w:rPr>
                <w:rFonts w:cstheme="minorHAnsi"/>
                <w:b/>
              </w:rPr>
              <w:t>Address:</w:t>
            </w:r>
          </w:p>
        </w:tc>
        <w:tc>
          <w:tcPr>
            <w:tcW w:w="7070" w:type="dxa"/>
            <w:tcBorders>
              <w:top w:val="single" w:sz="4" w:space="0" w:color="auto"/>
              <w:bottom w:val="single" w:sz="4" w:space="0" w:color="auto"/>
            </w:tcBorders>
          </w:tcPr>
          <w:p w14:paraId="27539760" w14:textId="24E22F08" w:rsidR="00F05D9F" w:rsidRPr="008541BE" w:rsidRDefault="00F3034B" w:rsidP="00F3034B">
            <w:pPr>
              <w:rPr>
                <w:rFonts w:ascii="Calibri" w:eastAsia="Calibri" w:hAnsi="Calibri" w:cs="Calibri"/>
              </w:rPr>
            </w:pPr>
            <w:r w:rsidRPr="00F3034B">
              <w:rPr>
                <w:rFonts w:ascii="Calibri" w:eastAsia="Calibri" w:hAnsi="Calibri" w:cs="Calibri"/>
              </w:rPr>
              <w:t>120 N. LARCH PLACE</w:t>
            </w:r>
          </w:p>
        </w:tc>
      </w:tr>
      <w:tr w:rsidR="008541BE" w:rsidRPr="008541BE" w14:paraId="5A39BBE3" w14:textId="77777777" w:rsidTr="38604640">
        <w:tc>
          <w:tcPr>
            <w:tcW w:w="2280" w:type="dxa"/>
          </w:tcPr>
          <w:p w14:paraId="41C8F396" w14:textId="77777777" w:rsidR="00F05D9F" w:rsidRPr="008541BE" w:rsidRDefault="00F05D9F" w:rsidP="00F05D9F">
            <w:pPr>
              <w:rPr>
                <w:rFonts w:cstheme="minorHAnsi"/>
                <w:b/>
              </w:rPr>
            </w:pPr>
          </w:p>
        </w:tc>
        <w:tc>
          <w:tcPr>
            <w:tcW w:w="7070" w:type="dxa"/>
            <w:tcBorders>
              <w:top w:val="single" w:sz="4" w:space="0" w:color="auto"/>
              <w:bottom w:val="single" w:sz="4" w:space="0" w:color="auto"/>
            </w:tcBorders>
          </w:tcPr>
          <w:p w14:paraId="72A3D3EC" w14:textId="6EFC47CF" w:rsidR="00F05D9F" w:rsidRPr="008541BE" w:rsidRDefault="00F3034B" w:rsidP="38604640">
            <w:pPr>
              <w:spacing w:line="259" w:lineRule="auto"/>
              <w:rPr>
                <w:rFonts w:ascii="Calibri" w:eastAsia="Calibri" w:hAnsi="Calibri" w:cs="Calibri"/>
              </w:rPr>
            </w:pPr>
            <w:r w:rsidRPr="00F3034B">
              <w:rPr>
                <w:rFonts w:ascii="Calibri" w:eastAsia="Calibri" w:hAnsi="Calibri" w:cs="Calibri"/>
              </w:rPr>
              <w:t>YAMHILL, OR 97148</w:t>
            </w:r>
          </w:p>
        </w:tc>
      </w:tr>
      <w:tr w:rsidR="008541BE" w:rsidRPr="008541BE" w14:paraId="31EBC709" w14:textId="77777777" w:rsidTr="38604640">
        <w:tc>
          <w:tcPr>
            <w:tcW w:w="2280" w:type="dxa"/>
          </w:tcPr>
          <w:p w14:paraId="0865E3EA" w14:textId="77777777" w:rsidR="00F05D9F" w:rsidRPr="008541BE" w:rsidRDefault="00F05D9F" w:rsidP="00F05D9F">
            <w:pPr>
              <w:rPr>
                <w:rFonts w:cstheme="minorHAnsi"/>
                <w:b/>
              </w:rPr>
            </w:pPr>
            <w:r w:rsidRPr="008541BE">
              <w:rPr>
                <w:rFonts w:cstheme="minorHAnsi"/>
                <w:b/>
              </w:rPr>
              <w:t>Telephone:</w:t>
            </w:r>
          </w:p>
        </w:tc>
        <w:tc>
          <w:tcPr>
            <w:tcW w:w="7070" w:type="dxa"/>
            <w:tcBorders>
              <w:top w:val="single" w:sz="4" w:space="0" w:color="auto"/>
              <w:bottom w:val="single" w:sz="4" w:space="0" w:color="auto"/>
            </w:tcBorders>
          </w:tcPr>
          <w:p w14:paraId="35D32CB8" w14:textId="7069A3E8" w:rsidR="00F05D9F" w:rsidRPr="008541BE" w:rsidRDefault="00F3034B" w:rsidP="00F3034B">
            <w:pPr>
              <w:rPr>
                <w:rFonts w:ascii="Calibri" w:eastAsia="Calibri" w:hAnsi="Calibri" w:cs="Calibri"/>
              </w:rPr>
            </w:pPr>
            <w:r w:rsidRPr="00F3034B">
              <w:rPr>
                <w:rFonts w:ascii="Calibri" w:eastAsia="Calibri" w:hAnsi="Calibri" w:cs="Calibri"/>
              </w:rPr>
              <w:t>503-852-6980</w:t>
            </w:r>
          </w:p>
        </w:tc>
      </w:tr>
    </w:tbl>
    <w:p w14:paraId="0D0B940D" w14:textId="77777777" w:rsidR="00CB6013" w:rsidRPr="00587BC3" w:rsidRDefault="00CB6013" w:rsidP="002B6C40">
      <w:pPr>
        <w:rPr>
          <w:rFonts w:cstheme="minorHAnsi"/>
          <w:sz w:val="28"/>
        </w:rPr>
      </w:pPr>
    </w:p>
    <w:p w14:paraId="523729E4" w14:textId="77777777" w:rsidR="00DC42D7" w:rsidRPr="00587BC3" w:rsidRDefault="00DC42D7" w:rsidP="00C84039">
      <w:pPr>
        <w:pStyle w:val="Heading1"/>
      </w:pPr>
      <w:bookmarkStart w:id="5" w:name="_Toc67983259"/>
      <w:r w:rsidRPr="00587BC3">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587BC3" w14:paraId="3C94A38E" w14:textId="77777777" w:rsidTr="38604640">
        <w:tc>
          <w:tcPr>
            <w:tcW w:w="1710" w:type="dxa"/>
          </w:tcPr>
          <w:p w14:paraId="7B6F25B4" w14:textId="77777777" w:rsidR="00F05D9F" w:rsidRPr="00587BC3" w:rsidRDefault="00F05D9F" w:rsidP="00F05D9F">
            <w:pPr>
              <w:rPr>
                <w:rFonts w:cstheme="minorHAnsi"/>
                <w:b/>
              </w:rPr>
            </w:pPr>
            <w:r w:rsidRPr="00587BC3">
              <w:rPr>
                <w:rFonts w:cstheme="minorHAnsi"/>
                <w:b/>
              </w:rPr>
              <w:t>Contact Name:</w:t>
            </w:r>
          </w:p>
        </w:tc>
        <w:tc>
          <w:tcPr>
            <w:tcW w:w="7640" w:type="dxa"/>
            <w:tcBorders>
              <w:bottom w:val="single" w:sz="4" w:space="0" w:color="auto"/>
            </w:tcBorders>
          </w:tcPr>
          <w:p w14:paraId="270FC775" w14:textId="49B803D1" w:rsidR="00F05D9F" w:rsidRPr="00587BC3" w:rsidRDefault="00B87716" w:rsidP="38604640">
            <w:pPr>
              <w:rPr>
                <w:rFonts w:ascii="Arial" w:eastAsia="Arial" w:hAnsi="Arial" w:cs="Arial"/>
                <w:color w:val="222222"/>
              </w:rPr>
            </w:pPr>
            <w:r w:rsidRPr="00587BC3">
              <w:rPr>
                <w:rFonts w:ascii="Arial" w:eastAsia="Arial" w:hAnsi="Arial" w:cs="Arial"/>
                <w:color w:val="222222"/>
              </w:rPr>
              <w:t>TAMI ZIGLER</w:t>
            </w:r>
          </w:p>
        </w:tc>
      </w:tr>
      <w:tr w:rsidR="008541BE" w:rsidRPr="00587BC3" w14:paraId="2D1F61DD" w14:textId="77777777" w:rsidTr="38604640">
        <w:tc>
          <w:tcPr>
            <w:tcW w:w="1710" w:type="dxa"/>
          </w:tcPr>
          <w:p w14:paraId="2702B4C6" w14:textId="77777777" w:rsidR="008541BE" w:rsidRPr="00587BC3" w:rsidRDefault="008541BE" w:rsidP="008541BE">
            <w:pPr>
              <w:rPr>
                <w:rFonts w:cstheme="minorHAnsi"/>
                <w:b/>
              </w:rPr>
            </w:pPr>
            <w:r w:rsidRPr="00587BC3">
              <w:rPr>
                <w:rFonts w:cstheme="minorHAnsi"/>
                <w:b/>
              </w:rPr>
              <w:t>Address:</w:t>
            </w:r>
          </w:p>
        </w:tc>
        <w:tc>
          <w:tcPr>
            <w:tcW w:w="7640" w:type="dxa"/>
            <w:tcBorders>
              <w:top w:val="single" w:sz="4" w:space="0" w:color="auto"/>
              <w:bottom w:val="single" w:sz="4" w:space="0" w:color="auto"/>
            </w:tcBorders>
          </w:tcPr>
          <w:p w14:paraId="6AB2EF2B" w14:textId="754C4816" w:rsidR="008541BE" w:rsidRPr="00587BC3" w:rsidRDefault="00B87716" w:rsidP="008541BE">
            <w:pPr>
              <w:rPr>
                <w:rFonts w:ascii="Arial" w:eastAsia="Arial" w:hAnsi="Arial" w:cs="Arial"/>
                <w:color w:val="222222"/>
              </w:rPr>
            </w:pPr>
            <w:r w:rsidRPr="00587BC3">
              <w:rPr>
                <w:rFonts w:ascii="Arial" w:eastAsia="Arial" w:hAnsi="Arial" w:cs="Arial"/>
                <w:color w:val="222222"/>
              </w:rPr>
              <w:t>120 N LARCH PLACE</w:t>
            </w:r>
          </w:p>
        </w:tc>
      </w:tr>
      <w:tr w:rsidR="008541BE" w:rsidRPr="00587BC3" w14:paraId="0E27B00A" w14:textId="77777777" w:rsidTr="38604640">
        <w:tc>
          <w:tcPr>
            <w:tcW w:w="1710" w:type="dxa"/>
          </w:tcPr>
          <w:p w14:paraId="60061E4C" w14:textId="77777777" w:rsidR="008541BE" w:rsidRPr="00587BC3" w:rsidRDefault="008541BE" w:rsidP="008541BE">
            <w:pPr>
              <w:rPr>
                <w:rFonts w:cstheme="minorHAnsi"/>
                <w:b/>
              </w:rPr>
            </w:pPr>
          </w:p>
        </w:tc>
        <w:tc>
          <w:tcPr>
            <w:tcW w:w="7640" w:type="dxa"/>
            <w:tcBorders>
              <w:top w:val="single" w:sz="4" w:space="0" w:color="auto"/>
              <w:bottom w:val="single" w:sz="4" w:space="0" w:color="auto"/>
            </w:tcBorders>
          </w:tcPr>
          <w:p w14:paraId="44EAFD9C" w14:textId="1AFC6BF9" w:rsidR="008541BE" w:rsidRPr="00587BC3" w:rsidRDefault="00B87716" w:rsidP="008541BE">
            <w:pPr>
              <w:spacing w:line="259" w:lineRule="auto"/>
              <w:rPr>
                <w:rFonts w:ascii="Arial" w:eastAsia="Calibri" w:hAnsi="Arial" w:cs="Arial"/>
                <w:color w:val="000000" w:themeColor="text1"/>
              </w:rPr>
            </w:pPr>
            <w:r w:rsidRPr="00587BC3">
              <w:rPr>
                <w:rFonts w:ascii="Arial" w:eastAsia="Calibri" w:hAnsi="Arial" w:cs="Arial"/>
                <w:color w:val="000000" w:themeColor="text1"/>
              </w:rPr>
              <w:t>YAMHILL, OR 97148</w:t>
            </w:r>
          </w:p>
        </w:tc>
      </w:tr>
      <w:tr w:rsidR="00F05D9F" w:rsidRPr="00587BC3" w14:paraId="6B6F2D48" w14:textId="77777777" w:rsidTr="38604640">
        <w:tc>
          <w:tcPr>
            <w:tcW w:w="1710" w:type="dxa"/>
          </w:tcPr>
          <w:p w14:paraId="1AC0ED91" w14:textId="77777777" w:rsidR="00F05D9F" w:rsidRPr="00587BC3" w:rsidRDefault="6A2B6938" w:rsidP="38604640">
            <w:pPr>
              <w:rPr>
                <w:b/>
                <w:bCs/>
              </w:rPr>
            </w:pPr>
            <w:r w:rsidRPr="00587BC3">
              <w:rPr>
                <w:b/>
                <w:bCs/>
              </w:rPr>
              <w:t>Telephone:</w:t>
            </w:r>
          </w:p>
        </w:tc>
        <w:tc>
          <w:tcPr>
            <w:tcW w:w="7640" w:type="dxa"/>
            <w:tcBorders>
              <w:top w:val="single" w:sz="4" w:space="0" w:color="auto"/>
              <w:bottom w:val="single" w:sz="4" w:space="0" w:color="auto"/>
            </w:tcBorders>
          </w:tcPr>
          <w:p w14:paraId="373008EA" w14:textId="7A81616B" w:rsidR="00F05D9F" w:rsidRPr="00587BC3" w:rsidRDefault="00B87716" w:rsidP="38604640">
            <w:r w:rsidRPr="00587BC3">
              <w:t>503-852-6983</w:t>
            </w:r>
          </w:p>
        </w:tc>
      </w:tr>
      <w:tr w:rsidR="00F05D9F" w:rsidRPr="00747645" w14:paraId="6B63309C" w14:textId="77777777" w:rsidTr="38604640">
        <w:tc>
          <w:tcPr>
            <w:tcW w:w="1710" w:type="dxa"/>
          </w:tcPr>
          <w:p w14:paraId="084443D4" w14:textId="77777777" w:rsidR="00F05D9F" w:rsidRPr="00587BC3" w:rsidRDefault="00F05D9F" w:rsidP="00F05D9F">
            <w:pPr>
              <w:rPr>
                <w:rFonts w:cstheme="minorHAnsi"/>
                <w:b/>
              </w:rPr>
            </w:pPr>
            <w:r w:rsidRPr="00587BC3">
              <w:rPr>
                <w:rFonts w:cstheme="minorHAnsi"/>
                <w:b/>
              </w:rPr>
              <w:t>Email:</w:t>
            </w:r>
          </w:p>
        </w:tc>
        <w:tc>
          <w:tcPr>
            <w:tcW w:w="7640" w:type="dxa"/>
            <w:tcBorders>
              <w:top w:val="single" w:sz="4" w:space="0" w:color="auto"/>
              <w:bottom w:val="single" w:sz="4" w:space="0" w:color="auto"/>
            </w:tcBorders>
          </w:tcPr>
          <w:p w14:paraId="33384C1F" w14:textId="5E4E72DE" w:rsidR="00F05D9F" w:rsidRPr="00747645" w:rsidRDefault="00B87716" w:rsidP="38604640">
            <w:r w:rsidRPr="00587BC3">
              <w:t>ZIGLERT@YCSCHOOLS.ORG</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1" w:name="_Toc67983295"/>
      <w:r w:rsidRPr="001D5722">
        <w:lastRenderedPageBreak/>
        <w:t>SCORING CRITERIA</w:t>
      </w:r>
      <w:bookmarkEnd w:id="41"/>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53E80686" w:rsidR="00801098" w:rsidRPr="008541BE" w:rsidRDefault="00801098" w:rsidP="00C84039">
      <w:pPr>
        <w:pStyle w:val="Heading1"/>
      </w:pPr>
      <w:bookmarkStart w:id="49" w:name="_Toc67983305"/>
      <w:r w:rsidRPr="00587BC3">
        <w:lastRenderedPageBreak/>
        <w:t>TECHNICAL ENVIRONMENT</w:t>
      </w:r>
      <w:bookmarkEnd w:id="49"/>
      <w:r w:rsidR="00127FAD" w:rsidRPr="00587BC3">
        <w:t xml:space="preserve"> RELATED TO THIS RFP</w:t>
      </w:r>
      <w:r w:rsidRPr="008541BE">
        <w:t xml:space="preserve"> </w:t>
      </w:r>
    </w:p>
    <w:p w14:paraId="0208BA56" w14:textId="34573109" w:rsidR="00CB6013" w:rsidRPr="008541BE" w:rsidRDefault="007D2D1E" w:rsidP="00C84039">
      <w:pPr>
        <w:pStyle w:val="Heading2"/>
        <w:rPr>
          <w:b/>
          <w:color w:val="auto"/>
        </w:rPr>
      </w:pPr>
      <w:bookmarkStart w:id="50" w:name="_Toc67983306"/>
      <w:r w:rsidRPr="008541BE">
        <w:rPr>
          <w:b/>
          <w:color w:val="auto"/>
        </w:rPr>
        <w:t>School</w:t>
      </w:r>
      <w:r w:rsidR="00CB6013" w:rsidRPr="008541BE">
        <w:rPr>
          <w:b/>
          <w:color w:val="auto"/>
        </w:rPr>
        <w:t xml:space="preserve"> </w:t>
      </w:r>
      <w:r w:rsidR="00A20313" w:rsidRPr="008541BE">
        <w:rPr>
          <w:b/>
          <w:color w:val="auto"/>
        </w:rPr>
        <w:t>Buildings</w:t>
      </w:r>
      <w:bookmarkEnd w:id="50"/>
    </w:p>
    <w:p w14:paraId="0DE4B5B7" w14:textId="0A6AA9A3" w:rsidR="00CB6013" w:rsidRPr="008541BE" w:rsidRDefault="00CB6013" w:rsidP="00801098">
      <w:pPr>
        <w:pStyle w:val="NoSpacing"/>
      </w:pPr>
    </w:p>
    <w:tbl>
      <w:tblPr>
        <w:tblW w:w="93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4"/>
        <w:gridCol w:w="4114"/>
        <w:gridCol w:w="705"/>
      </w:tblGrid>
      <w:tr w:rsidR="007D2D1E" w:rsidRPr="008541BE" w14:paraId="30531285" w14:textId="77777777" w:rsidTr="00587BC3">
        <w:trPr>
          <w:trHeight w:val="237"/>
        </w:trPr>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8541BE" w:rsidRDefault="007D2D1E" w:rsidP="007D2D1E">
            <w:pPr>
              <w:spacing w:after="0" w:line="240" w:lineRule="auto"/>
              <w:textAlignment w:val="baseline"/>
              <w:rPr>
                <w:rFonts w:ascii="Segoe UI" w:eastAsia="Times New Roman" w:hAnsi="Segoe UI" w:cs="Segoe UI"/>
                <w:sz w:val="18"/>
                <w:szCs w:val="18"/>
              </w:rPr>
            </w:pPr>
            <w:bookmarkStart w:id="51" w:name="_Toc67983307"/>
            <w:r w:rsidRPr="008541BE">
              <w:rPr>
                <w:rFonts w:ascii="Calibri" w:eastAsia="Times New Roman" w:hAnsi="Calibri" w:cs="Calibri"/>
                <w:b/>
                <w:bCs/>
                <w:color w:val="FFFFFF"/>
              </w:rPr>
              <w:t>#</w:t>
            </w:r>
            <w:r w:rsidRPr="008541BE">
              <w:rPr>
                <w:rFonts w:ascii="Calibri" w:eastAsia="Times New Roman" w:hAnsi="Calibri" w:cs="Calibri"/>
                <w:color w:val="FFFFFF"/>
              </w:rPr>
              <w:t> </w:t>
            </w:r>
          </w:p>
        </w:tc>
        <w:tc>
          <w:tcPr>
            <w:tcW w:w="4114"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b/>
                <w:bCs/>
                <w:color w:val="FFFFFF"/>
              </w:rPr>
              <w:t>Entity</w:t>
            </w:r>
            <w:r w:rsidRPr="008541BE">
              <w:rPr>
                <w:rFonts w:ascii="Calibri" w:eastAsia="Times New Roman" w:hAnsi="Calibri" w:cs="Calibri"/>
                <w:color w:val="FFFFFF"/>
              </w:rPr>
              <w:t> </w:t>
            </w:r>
          </w:p>
        </w:tc>
        <w:tc>
          <w:tcPr>
            <w:tcW w:w="4114"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b/>
                <w:bCs/>
                <w:color w:val="FFFFFF"/>
              </w:rPr>
              <w:t>Address</w:t>
            </w:r>
            <w:r w:rsidRPr="008541BE">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b/>
                <w:bCs/>
                <w:color w:val="FFFFFF"/>
              </w:rPr>
              <w:t>NIF</w:t>
            </w:r>
            <w:r w:rsidRPr="008541BE">
              <w:rPr>
                <w:rFonts w:ascii="Calibri" w:eastAsia="Times New Roman" w:hAnsi="Calibri" w:cs="Calibri"/>
                <w:color w:val="FFFFFF"/>
              </w:rPr>
              <w:t> </w:t>
            </w:r>
          </w:p>
        </w:tc>
      </w:tr>
      <w:tr w:rsidR="007D2D1E" w:rsidRPr="008541BE" w14:paraId="2DE9B9D3" w14:textId="77777777" w:rsidTr="00587BC3">
        <w:trPr>
          <w:trHeight w:val="246"/>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587BC3" w:rsidRDefault="007D2D1E" w:rsidP="007D2D1E">
            <w:pPr>
              <w:spacing w:after="0" w:line="240" w:lineRule="auto"/>
              <w:textAlignment w:val="baseline"/>
              <w:rPr>
                <w:rFonts w:ascii="Segoe UI" w:eastAsia="Times New Roman" w:hAnsi="Segoe UI" w:cs="Segoe UI"/>
                <w:sz w:val="18"/>
                <w:szCs w:val="18"/>
              </w:rPr>
            </w:pPr>
            <w:r w:rsidRPr="00587BC3">
              <w:rPr>
                <w:rFonts w:ascii="Calibri" w:eastAsia="Times New Roman" w:hAnsi="Calibri" w:cs="Calibri"/>
                <w:b/>
                <w:bCs/>
                <w:color w:val="000000"/>
              </w:rPr>
              <w:t>1</w:t>
            </w:r>
            <w:r w:rsidRPr="00587BC3">
              <w:rPr>
                <w:rFonts w:ascii="Calibri" w:eastAsia="Times New Roman" w:hAnsi="Calibri" w:cs="Calibri"/>
                <w:color w:val="000000"/>
              </w:rPr>
              <w:t> </w:t>
            </w:r>
          </w:p>
        </w:tc>
        <w:tc>
          <w:tcPr>
            <w:tcW w:w="4114"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19EEFACD" w:rsidR="007D2D1E" w:rsidRPr="008541BE" w:rsidRDefault="00B87716"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YAMHILL CARLTON ELEMENTARY SCHOOL</w:t>
            </w:r>
          </w:p>
        </w:tc>
        <w:tc>
          <w:tcPr>
            <w:tcW w:w="4114"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4582A725" w:rsidR="007D2D1E" w:rsidRPr="008541BE" w:rsidRDefault="00B87716"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420 S 3</w:t>
            </w:r>
            <w:r w:rsidRPr="00B87716">
              <w:rPr>
                <w:rFonts w:ascii="Segoe UI" w:eastAsia="Times New Roman" w:hAnsi="Segoe UI" w:cs="Segoe UI"/>
                <w:sz w:val="18"/>
                <w:szCs w:val="18"/>
                <w:vertAlign w:val="superscript"/>
              </w:rPr>
              <w:t>RD</w:t>
            </w:r>
            <w:r>
              <w:rPr>
                <w:rFonts w:ascii="Segoe UI" w:eastAsia="Times New Roman" w:hAnsi="Segoe UI" w:cs="Segoe UI"/>
                <w:sz w:val="18"/>
                <w:szCs w:val="18"/>
              </w:rPr>
              <w:t xml:space="preserve"> ST, CARLTON OR 97111</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color w:val="000000"/>
              </w:rPr>
              <w:t> </w:t>
            </w:r>
          </w:p>
        </w:tc>
      </w:tr>
    </w:tbl>
    <w:p w14:paraId="0CDE85CB" w14:textId="77777777" w:rsidR="00F3034B" w:rsidRDefault="00F3034B" w:rsidP="00B82460">
      <w:pPr>
        <w:rPr>
          <w:rStyle w:val="Heading2Char"/>
          <w:b/>
          <w:color w:val="auto"/>
          <w:highlight w:val="yellow"/>
        </w:rPr>
      </w:pPr>
      <w:bookmarkStart w:id="52" w:name="_Toc67983309"/>
      <w:bookmarkEnd w:id="51"/>
    </w:p>
    <w:p w14:paraId="5289491A" w14:textId="6241AEDF"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bookmarkStart w:id="53" w:name="_GoBack"/>
      <w:bookmarkEnd w:id="53"/>
    </w:p>
    <w:p w14:paraId="6E673B70" w14:textId="77777777" w:rsidR="00CB6013" w:rsidRPr="00587BC3" w:rsidRDefault="00CB6013" w:rsidP="00C84039">
      <w:pPr>
        <w:pStyle w:val="Heading1"/>
      </w:pPr>
      <w:bookmarkStart w:id="54" w:name="_Toc67983310"/>
      <w:r w:rsidRPr="00587BC3">
        <w:lastRenderedPageBreak/>
        <w:t>SCOPE OF WORK</w:t>
      </w:r>
      <w:bookmarkEnd w:id="54"/>
    </w:p>
    <w:p w14:paraId="6E0C7A92" w14:textId="02E9BBEB" w:rsidR="00F073BC" w:rsidRPr="00587BC3" w:rsidRDefault="00F073BC" w:rsidP="00F073BC">
      <w:pPr>
        <w:rPr>
          <w:color w:val="FF0000"/>
        </w:rPr>
      </w:pPr>
      <w:bookmarkStart w:id="55" w:name="_Toc67983311"/>
      <w:r w:rsidRPr="00587BC3">
        <w:rPr>
          <w:rStyle w:val="Heading2Char"/>
          <w:b/>
          <w:color w:val="auto"/>
        </w:rPr>
        <w:t>Definition</w:t>
      </w:r>
      <w:bookmarkEnd w:id="55"/>
      <w:r w:rsidRPr="00587BC3">
        <w:br/>
      </w:r>
      <w:sdt>
        <w:sdtPr>
          <w:rPr>
            <w:rFonts w:ascii="Arial" w:hAnsi="Arial" w:cs="Arial"/>
            <w:sz w:val="21"/>
            <w:szCs w:val="21"/>
          </w:rPr>
          <w:alias w:val="ScopeOfWork"/>
          <w:tag w:val="ScopeOfWork"/>
          <w:id w:val="1907499594"/>
          <w:placeholder>
            <w:docPart w:val="DefaultPlaceholder_1081868574"/>
          </w:placeholder>
          <w15:color w:val="000000"/>
          <w:text/>
        </w:sdtPr>
        <w:sdtContent>
          <w:r w:rsidR="00C0307D" w:rsidRPr="00C0307D">
            <w:rPr>
              <w:rFonts w:ascii="Arial" w:hAnsi="Arial" w:cs="Arial"/>
              <w:sz w:val="21"/>
              <w:szCs w:val="21"/>
            </w:rPr>
            <w:t xml:space="preserve">Pull a new single fiber run from the Yamhill Carlton Elementary School MDF to the brick outside wing middle classroom soffit switch.  The run is approximately 100 feet.  The new fiber would connect up to 10GB. </w:t>
          </w:r>
        </w:sdtContent>
      </w:sdt>
    </w:p>
    <w:p w14:paraId="64A6BA21" w14:textId="77777777" w:rsidR="006A232C" w:rsidRPr="00587BC3" w:rsidRDefault="006A232C" w:rsidP="006A232C">
      <w:pPr>
        <w:pStyle w:val="paragraph"/>
        <w:spacing w:before="0" w:beforeAutospacing="0" w:after="0" w:afterAutospacing="0"/>
        <w:textAlignment w:val="baseline"/>
        <w:rPr>
          <w:rFonts w:ascii="Segoe UI" w:hAnsi="Segoe UI" w:cs="Segoe UI"/>
          <w:sz w:val="18"/>
          <w:szCs w:val="18"/>
        </w:rPr>
      </w:pPr>
      <w:bookmarkStart w:id="56" w:name="_Toc67983312"/>
    </w:p>
    <w:p w14:paraId="6FC7320A" w14:textId="77777777" w:rsidR="00F073BC" w:rsidRPr="00587BC3" w:rsidRDefault="00F073BC" w:rsidP="00F073BC">
      <w:pPr>
        <w:pStyle w:val="Heading2"/>
        <w:rPr>
          <w:b/>
          <w:color w:val="auto"/>
        </w:rPr>
      </w:pPr>
      <w:r w:rsidRPr="00587BC3">
        <w:rPr>
          <w:b/>
          <w:color w:val="auto"/>
        </w:rPr>
        <w:t>Line Items</w:t>
      </w:r>
      <w:bookmarkEnd w:id="56"/>
    </w:p>
    <w:tbl>
      <w:tblPr>
        <w:tblStyle w:val="TableGrid"/>
        <w:tblW w:w="9715" w:type="dxa"/>
        <w:tblLook w:val="04A0" w:firstRow="1" w:lastRow="0" w:firstColumn="1" w:lastColumn="0" w:noHBand="0" w:noVBand="1"/>
      </w:tblPr>
      <w:tblGrid>
        <w:gridCol w:w="408"/>
        <w:gridCol w:w="3727"/>
        <w:gridCol w:w="2617"/>
        <w:gridCol w:w="1343"/>
        <w:gridCol w:w="1620"/>
      </w:tblGrid>
      <w:tr w:rsidR="00BA67A7" w:rsidRPr="00587BC3" w14:paraId="51B102CE" w14:textId="77777777" w:rsidTr="0066352E">
        <w:tc>
          <w:tcPr>
            <w:tcW w:w="408" w:type="dxa"/>
            <w:shd w:val="clear" w:color="auto" w:fill="404040" w:themeFill="text1" w:themeFillTint="BF"/>
          </w:tcPr>
          <w:p w14:paraId="64573B65" w14:textId="0EC56916" w:rsidR="00BA67A7" w:rsidRPr="00587BC3" w:rsidRDefault="00BA67A7" w:rsidP="00CB6013">
            <w:pPr>
              <w:rPr>
                <w:rFonts w:cstheme="minorHAnsi"/>
                <w:b/>
                <w:color w:val="FFFFFF" w:themeColor="background1"/>
              </w:rPr>
            </w:pPr>
            <w:r w:rsidRPr="00587BC3">
              <w:rPr>
                <w:rFonts w:cstheme="minorHAnsi"/>
                <w:b/>
                <w:color w:val="FFFFFF" w:themeColor="background1"/>
              </w:rPr>
              <w:t>#</w:t>
            </w:r>
          </w:p>
        </w:tc>
        <w:tc>
          <w:tcPr>
            <w:tcW w:w="3727" w:type="dxa"/>
            <w:shd w:val="clear" w:color="auto" w:fill="404040" w:themeFill="text1" w:themeFillTint="BF"/>
          </w:tcPr>
          <w:p w14:paraId="018E7E0B" w14:textId="465D3913" w:rsidR="00BA67A7" w:rsidRPr="00587BC3" w:rsidRDefault="00BA67A7" w:rsidP="00CB6013">
            <w:pPr>
              <w:rPr>
                <w:rFonts w:cstheme="minorHAnsi"/>
                <w:b/>
                <w:color w:val="FFFFFF" w:themeColor="background1"/>
              </w:rPr>
            </w:pPr>
            <w:r w:rsidRPr="00587BC3">
              <w:rPr>
                <w:rFonts w:cstheme="minorHAnsi"/>
                <w:b/>
                <w:color w:val="FFFFFF" w:themeColor="background1"/>
              </w:rPr>
              <w:t>Item</w:t>
            </w:r>
          </w:p>
        </w:tc>
        <w:tc>
          <w:tcPr>
            <w:tcW w:w="2617" w:type="dxa"/>
            <w:shd w:val="clear" w:color="auto" w:fill="404040" w:themeFill="text1" w:themeFillTint="BF"/>
          </w:tcPr>
          <w:p w14:paraId="7311E5BE" w14:textId="44CF2572" w:rsidR="00BA67A7" w:rsidRPr="00587BC3" w:rsidRDefault="00BA67A7" w:rsidP="00CB6013">
            <w:pPr>
              <w:rPr>
                <w:rFonts w:cstheme="minorHAnsi"/>
                <w:b/>
                <w:color w:val="FFFFFF" w:themeColor="background1"/>
              </w:rPr>
            </w:pPr>
            <w:r w:rsidRPr="00587BC3">
              <w:rPr>
                <w:rFonts w:cstheme="minorHAnsi"/>
                <w:b/>
                <w:color w:val="FFFFFF" w:themeColor="background1"/>
              </w:rPr>
              <w:t>Make or Model, or equivalent</w:t>
            </w:r>
          </w:p>
        </w:tc>
        <w:tc>
          <w:tcPr>
            <w:tcW w:w="1343" w:type="dxa"/>
            <w:shd w:val="clear" w:color="auto" w:fill="404040" w:themeFill="text1" w:themeFillTint="BF"/>
          </w:tcPr>
          <w:p w14:paraId="52861222" w14:textId="5D572421" w:rsidR="00BA67A7" w:rsidRPr="00587BC3" w:rsidRDefault="00BA67A7" w:rsidP="00CB6013">
            <w:pPr>
              <w:rPr>
                <w:rFonts w:cstheme="minorHAnsi"/>
                <w:b/>
                <w:color w:val="FFFFFF" w:themeColor="background1"/>
              </w:rPr>
            </w:pPr>
            <w:r w:rsidRPr="00587BC3">
              <w:rPr>
                <w:rFonts w:cstheme="minorHAnsi"/>
                <w:b/>
                <w:color w:val="FFFFFF" w:themeColor="background1"/>
              </w:rPr>
              <w:t>Quantity or Capacity</w:t>
            </w:r>
          </w:p>
        </w:tc>
        <w:tc>
          <w:tcPr>
            <w:tcW w:w="1620" w:type="dxa"/>
            <w:shd w:val="clear" w:color="auto" w:fill="404040" w:themeFill="text1" w:themeFillTint="BF"/>
          </w:tcPr>
          <w:p w14:paraId="7C728DA6" w14:textId="5C0E8706" w:rsidR="00BA67A7" w:rsidRPr="00587BC3" w:rsidRDefault="00BA67A7" w:rsidP="00CB6013">
            <w:pPr>
              <w:rPr>
                <w:rFonts w:cstheme="minorHAnsi"/>
                <w:b/>
                <w:color w:val="FFFFFF" w:themeColor="background1"/>
              </w:rPr>
            </w:pPr>
            <w:r w:rsidRPr="00587BC3">
              <w:rPr>
                <w:rFonts w:cstheme="minorHAnsi"/>
                <w:b/>
                <w:color w:val="FFFFFF" w:themeColor="background1"/>
              </w:rPr>
              <w:t>Unit</w:t>
            </w:r>
          </w:p>
        </w:tc>
      </w:tr>
      <w:tr w:rsidR="00BA67A7" w:rsidRPr="00587BC3" w14:paraId="5736CABF" w14:textId="77777777" w:rsidTr="0066352E">
        <w:tc>
          <w:tcPr>
            <w:tcW w:w="408" w:type="dxa"/>
          </w:tcPr>
          <w:p w14:paraId="68C5EC12" w14:textId="0CC38000" w:rsidR="00BA67A7" w:rsidRPr="00587BC3" w:rsidRDefault="00BC0FB8" w:rsidP="00CB6013">
            <w:pPr>
              <w:rPr>
                <w:rFonts w:cstheme="minorHAnsi"/>
              </w:rPr>
            </w:pPr>
            <w:r>
              <w:rPr>
                <w:rFonts w:cstheme="minorHAnsi"/>
              </w:rPr>
              <w:t>1</w:t>
            </w:r>
          </w:p>
        </w:tc>
        <w:tc>
          <w:tcPr>
            <w:tcW w:w="3727" w:type="dxa"/>
          </w:tcPr>
          <w:p w14:paraId="0BFE64EE" w14:textId="434CBE0F" w:rsidR="00BA67A7" w:rsidRPr="00587BC3" w:rsidRDefault="0066352E" w:rsidP="00CB6013">
            <w:pPr>
              <w:rPr>
                <w:rFonts w:cstheme="minorHAnsi"/>
              </w:rPr>
            </w:pPr>
            <w:r w:rsidRPr="00587BC3">
              <w:rPr>
                <w:rFonts w:cstheme="minorHAnsi"/>
              </w:rPr>
              <w:t>SINGLE FIBER RUN AT YCES</w:t>
            </w:r>
          </w:p>
        </w:tc>
        <w:tc>
          <w:tcPr>
            <w:tcW w:w="2617" w:type="dxa"/>
          </w:tcPr>
          <w:p w14:paraId="299D2765" w14:textId="77777777" w:rsidR="00BA67A7" w:rsidRPr="00587BC3" w:rsidRDefault="00BA67A7" w:rsidP="00CB6013">
            <w:pPr>
              <w:rPr>
                <w:rFonts w:cstheme="minorHAnsi"/>
              </w:rPr>
            </w:pPr>
          </w:p>
        </w:tc>
        <w:tc>
          <w:tcPr>
            <w:tcW w:w="1343" w:type="dxa"/>
          </w:tcPr>
          <w:p w14:paraId="3972B1A3" w14:textId="5CCEC5CE" w:rsidR="00BA67A7" w:rsidRPr="00587BC3" w:rsidRDefault="0066352E" w:rsidP="00CB6013">
            <w:pPr>
              <w:rPr>
                <w:rFonts w:cstheme="minorHAnsi"/>
              </w:rPr>
            </w:pPr>
            <w:r w:rsidRPr="00587BC3">
              <w:rPr>
                <w:rFonts w:cstheme="minorHAnsi"/>
              </w:rPr>
              <w:t>100 FT</w:t>
            </w:r>
          </w:p>
        </w:tc>
        <w:tc>
          <w:tcPr>
            <w:tcW w:w="1620" w:type="dxa"/>
          </w:tcPr>
          <w:p w14:paraId="00159662" w14:textId="64AB93DB" w:rsidR="00BA67A7" w:rsidRPr="00587BC3" w:rsidRDefault="0066352E" w:rsidP="00CB6013">
            <w:pPr>
              <w:rPr>
                <w:rFonts w:cstheme="minorHAnsi"/>
              </w:rPr>
            </w:pPr>
            <w:r w:rsidRPr="00587BC3">
              <w:rPr>
                <w:rFonts w:cstheme="minorHAnsi"/>
              </w:rPr>
              <w:t>CABLING</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7" w:name="_Toc67983313"/>
      <w:r w:rsidRPr="002B6C40">
        <w:lastRenderedPageBreak/>
        <w:t>PROPOSER INFORMATION</w:t>
      </w:r>
      <w:r>
        <w:t xml:space="preserve"> AND CERTIFICATION</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8" w:name="_Toc67983314"/>
      <w:r w:rsidRPr="00C84039">
        <w:rPr>
          <w:b/>
          <w:color w:val="auto"/>
        </w:rPr>
        <w:t>By submitting a response, you certify that you are authorized to represent your company.</w:t>
      </w:r>
      <w:bookmarkEnd w:id="5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39FB" w14:textId="77777777" w:rsidR="00D2258F" w:rsidRDefault="00D2258F" w:rsidP="00DC42D7">
      <w:pPr>
        <w:spacing w:after="0" w:line="240" w:lineRule="auto"/>
      </w:pPr>
      <w:r>
        <w:separator/>
      </w:r>
    </w:p>
  </w:endnote>
  <w:endnote w:type="continuationSeparator" w:id="0">
    <w:p w14:paraId="1FAECDE8" w14:textId="77777777" w:rsidR="00D2258F" w:rsidRDefault="00D2258F"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66352E">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66352E">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5051" w14:textId="77777777" w:rsidR="00D2258F" w:rsidRDefault="00D2258F" w:rsidP="00DC42D7">
      <w:pPr>
        <w:spacing w:after="0" w:line="240" w:lineRule="auto"/>
      </w:pPr>
      <w:r>
        <w:separator/>
      </w:r>
    </w:p>
  </w:footnote>
  <w:footnote w:type="continuationSeparator" w:id="0">
    <w:p w14:paraId="3235D223" w14:textId="77777777" w:rsidR="00D2258F" w:rsidRDefault="00D2258F"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5B81E361" w:rsidR="00BF4A78" w:rsidRDefault="00D2258F">
    <w:pPr>
      <w:pStyle w:val="Header"/>
    </w:pPr>
    <w:sdt>
      <w:sdtPr>
        <w:alias w:val="District"/>
        <w:tag w:val="District"/>
        <w:id w:val="-568959399"/>
        <w:placeholder>
          <w:docPart w:val="DefaultPlaceholder_1081868574"/>
        </w:placeholder>
        <w15:color w:val="000000"/>
        <w:text/>
      </w:sdtPr>
      <w:sdtEndPr/>
      <w:sdtContent>
        <w:r w:rsidR="00F3034B">
          <w:t xml:space="preserve">Yamhill Carlton </w:t>
        </w:r>
        <w:r w:rsidR="006A395E">
          <w:t>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F3034B">
          <w:rPr>
            <w:color w:val="808080"/>
          </w:rPr>
          <w:t>YCSD</w:t>
        </w:r>
        <w:r w:rsidR="008541BE" w:rsidRPr="008541BE">
          <w:rPr>
            <w:color w:val="808080"/>
          </w:rPr>
          <w:t>-FY2023-C2-IC</w:t>
        </w:r>
        <w:r w:rsidR="00BC0FB8">
          <w:rPr>
            <w:color w:val="808080"/>
          </w:rPr>
          <w:t>-CAB</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F5476"/>
    <w:rsid w:val="00115C60"/>
    <w:rsid w:val="00127FAD"/>
    <w:rsid w:val="00160B0A"/>
    <w:rsid w:val="00165FB5"/>
    <w:rsid w:val="0018324E"/>
    <w:rsid w:val="001A20E9"/>
    <w:rsid w:val="001B1870"/>
    <w:rsid w:val="001C20D6"/>
    <w:rsid w:val="001D5722"/>
    <w:rsid w:val="002A1D6F"/>
    <w:rsid w:val="002B0D13"/>
    <w:rsid w:val="002B6C40"/>
    <w:rsid w:val="002D2297"/>
    <w:rsid w:val="002F165B"/>
    <w:rsid w:val="003153A7"/>
    <w:rsid w:val="00363BDB"/>
    <w:rsid w:val="00415776"/>
    <w:rsid w:val="004A0F84"/>
    <w:rsid w:val="005069A6"/>
    <w:rsid w:val="00543B20"/>
    <w:rsid w:val="00566D0D"/>
    <w:rsid w:val="00587BC3"/>
    <w:rsid w:val="005A4BAD"/>
    <w:rsid w:val="005D7CDE"/>
    <w:rsid w:val="005E769F"/>
    <w:rsid w:val="006261D3"/>
    <w:rsid w:val="006512EC"/>
    <w:rsid w:val="0066352E"/>
    <w:rsid w:val="006A232C"/>
    <w:rsid w:val="006A395E"/>
    <w:rsid w:val="006B3EA4"/>
    <w:rsid w:val="00712130"/>
    <w:rsid w:val="00723931"/>
    <w:rsid w:val="00733573"/>
    <w:rsid w:val="007450EC"/>
    <w:rsid w:val="00747645"/>
    <w:rsid w:val="00787024"/>
    <w:rsid w:val="007A5672"/>
    <w:rsid w:val="007D2D1E"/>
    <w:rsid w:val="007F31A6"/>
    <w:rsid w:val="00801098"/>
    <w:rsid w:val="008232F6"/>
    <w:rsid w:val="008328E6"/>
    <w:rsid w:val="008541BE"/>
    <w:rsid w:val="008A123B"/>
    <w:rsid w:val="008A63D9"/>
    <w:rsid w:val="00933AC1"/>
    <w:rsid w:val="00952184"/>
    <w:rsid w:val="009B7883"/>
    <w:rsid w:val="009C1D53"/>
    <w:rsid w:val="009D248F"/>
    <w:rsid w:val="009E1E18"/>
    <w:rsid w:val="00A108E3"/>
    <w:rsid w:val="00A20313"/>
    <w:rsid w:val="00A82D45"/>
    <w:rsid w:val="00AC3FEB"/>
    <w:rsid w:val="00AC6029"/>
    <w:rsid w:val="00AE4925"/>
    <w:rsid w:val="00AE59A7"/>
    <w:rsid w:val="00B13DA7"/>
    <w:rsid w:val="00B31FEB"/>
    <w:rsid w:val="00B82460"/>
    <w:rsid w:val="00B87716"/>
    <w:rsid w:val="00BA67A7"/>
    <w:rsid w:val="00BC0FB8"/>
    <w:rsid w:val="00BE3644"/>
    <w:rsid w:val="00BE448C"/>
    <w:rsid w:val="00BF4A78"/>
    <w:rsid w:val="00C0307D"/>
    <w:rsid w:val="00C040AA"/>
    <w:rsid w:val="00C13A57"/>
    <w:rsid w:val="00C329A5"/>
    <w:rsid w:val="00C44389"/>
    <w:rsid w:val="00C630B1"/>
    <w:rsid w:val="00C84039"/>
    <w:rsid w:val="00CB6013"/>
    <w:rsid w:val="00CC3D84"/>
    <w:rsid w:val="00CC5B6D"/>
    <w:rsid w:val="00CE4EAE"/>
    <w:rsid w:val="00D2258F"/>
    <w:rsid w:val="00D35B13"/>
    <w:rsid w:val="00D52334"/>
    <w:rsid w:val="00DC089A"/>
    <w:rsid w:val="00DC42D7"/>
    <w:rsid w:val="00DC7448"/>
    <w:rsid w:val="00DE6BBC"/>
    <w:rsid w:val="00DE6E5D"/>
    <w:rsid w:val="00E05E84"/>
    <w:rsid w:val="00E11FD0"/>
    <w:rsid w:val="00E150D1"/>
    <w:rsid w:val="00E6163C"/>
    <w:rsid w:val="00E63447"/>
    <w:rsid w:val="00E67EF3"/>
    <w:rsid w:val="00EA0DF0"/>
    <w:rsid w:val="00EB0EDF"/>
    <w:rsid w:val="00F05D9F"/>
    <w:rsid w:val="00F073BC"/>
    <w:rsid w:val="00F07C9E"/>
    <w:rsid w:val="00F3034B"/>
    <w:rsid w:val="00F42603"/>
    <w:rsid w:val="00F51777"/>
    <w:rsid w:val="00F67004"/>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721B6"/>
    <w:rsid w:val="00080775"/>
    <w:rsid w:val="000F3C18"/>
    <w:rsid w:val="001D6B0A"/>
    <w:rsid w:val="003A2EB7"/>
    <w:rsid w:val="003D3609"/>
    <w:rsid w:val="003D717E"/>
    <w:rsid w:val="004122B1"/>
    <w:rsid w:val="00415776"/>
    <w:rsid w:val="00486815"/>
    <w:rsid w:val="00736BF8"/>
    <w:rsid w:val="00814FAD"/>
    <w:rsid w:val="0088601F"/>
    <w:rsid w:val="008F7034"/>
    <w:rsid w:val="009C4927"/>
    <w:rsid w:val="00A1700A"/>
    <w:rsid w:val="00C9391D"/>
    <w:rsid w:val="00CB0B54"/>
    <w:rsid w:val="00E612D9"/>
    <w:rsid w:val="00E93A03"/>
    <w:rsid w:val="00F27A24"/>
    <w:rsid w:val="00F62644"/>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2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564D885FD4C444BBAE76F6A506C7AFFD">
    <w:name w:val="564D885FD4C444BBAE76F6A506C7AFFD"/>
    <w:rsid w:val="00F27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B7FE0-D801-41F5-92F1-5B2C24D0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dcterms:created xsi:type="dcterms:W3CDTF">2023-02-20T21:56:00Z</dcterms:created>
  <dcterms:modified xsi:type="dcterms:W3CDTF">2023-02-20T22:07:00Z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